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B7" w:rsidRPr="004D152E" w:rsidRDefault="0050685A" w:rsidP="00F2658A">
      <w:pPr>
        <w:spacing w:after="0"/>
        <w:jc w:val="center"/>
        <w:rPr>
          <w:rFonts w:ascii="Arial" w:hAnsi="Arial" w:cs="Arial"/>
          <w:b/>
          <w:u w:val="single"/>
        </w:rPr>
      </w:pPr>
      <w:r w:rsidRPr="004D152E">
        <w:rPr>
          <w:rFonts w:ascii="Arial" w:hAnsi="Arial" w:cs="Arial"/>
          <w:b/>
          <w:u w:val="single"/>
        </w:rPr>
        <w:t>AUCTION PLAN FOR THE MONTH</w:t>
      </w:r>
      <w:r w:rsidR="008D14B7" w:rsidRPr="004D152E">
        <w:rPr>
          <w:rFonts w:ascii="Arial" w:hAnsi="Arial" w:cs="Arial"/>
          <w:b/>
          <w:u w:val="single"/>
        </w:rPr>
        <w:t xml:space="preserve"> OF JUNE, 2014.</w:t>
      </w:r>
    </w:p>
    <w:tbl>
      <w:tblPr>
        <w:tblStyle w:val="TableGrid"/>
        <w:tblpPr w:leftFromText="180" w:rightFromText="180" w:vertAnchor="text" w:horzAnchor="margin" w:tblpXSpec="center" w:tblpY="106"/>
        <w:tblW w:w="14148" w:type="dxa"/>
        <w:tblLayout w:type="fixed"/>
        <w:tblLook w:val="04A0"/>
      </w:tblPr>
      <w:tblGrid>
        <w:gridCol w:w="918"/>
        <w:gridCol w:w="4320"/>
        <w:gridCol w:w="1440"/>
        <w:gridCol w:w="900"/>
        <w:gridCol w:w="4680"/>
        <w:gridCol w:w="1890"/>
      </w:tblGrid>
      <w:tr w:rsidR="00F2658A" w:rsidRPr="004D152E" w:rsidTr="00F2658A">
        <w:trPr>
          <w:trHeight w:val="368"/>
        </w:trPr>
        <w:tc>
          <w:tcPr>
            <w:tcW w:w="918" w:type="dxa"/>
          </w:tcPr>
          <w:p w:rsidR="0057508E" w:rsidRPr="004D152E" w:rsidRDefault="00F2658A" w:rsidP="00F2658A">
            <w:pPr>
              <w:ind w:right="-108"/>
              <w:jc w:val="center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  <w:b/>
              </w:rPr>
              <w:t>Sr. No</w:t>
            </w:r>
            <w:r w:rsidRPr="004D152E">
              <w:rPr>
                <w:rFonts w:ascii="Arial" w:hAnsi="Arial" w:cs="Arial"/>
              </w:rPr>
              <w:t>.</w:t>
            </w:r>
          </w:p>
        </w:tc>
        <w:tc>
          <w:tcPr>
            <w:tcW w:w="4320" w:type="dxa"/>
          </w:tcPr>
          <w:p w:rsidR="0057508E" w:rsidRPr="004D152E" w:rsidRDefault="0057508E" w:rsidP="00F2658A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7508E" w:rsidRPr="004D152E" w:rsidRDefault="0057508E" w:rsidP="00F2658A">
            <w:pPr>
              <w:ind w:right="-152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Date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7508E" w:rsidRPr="004D152E" w:rsidRDefault="00F2658A" w:rsidP="00F2658A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57508E" w:rsidRPr="004D152E" w:rsidRDefault="0057508E" w:rsidP="00F2658A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90" w:type="dxa"/>
          </w:tcPr>
          <w:p w:rsidR="0057508E" w:rsidRPr="004D152E" w:rsidRDefault="0057508E" w:rsidP="00F2658A">
            <w:pPr>
              <w:ind w:right="-152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Date</w:t>
            </w:r>
          </w:p>
        </w:tc>
      </w:tr>
      <w:tr w:rsidR="00D01F79" w:rsidRPr="004D152E" w:rsidTr="00F2658A">
        <w:trPr>
          <w:trHeight w:val="368"/>
        </w:trPr>
        <w:tc>
          <w:tcPr>
            <w:tcW w:w="918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</w:t>
            </w:r>
          </w:p>
        </w:tc>
        <w:tc>
          <w:tcPr>
            <w:tcW w:w="4320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West Wharf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03.06.2014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11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A.I.C.T Including lots of KICT lying at AICT/ Bonded Warehouses.</w:t>
            </w:r>
          </w:p>
        </w:tc>
        <w:tc>
          <w:tcPr>
            <w:tcW w:w="1890" w:type="dxa"/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14.06.2014</w:t>
            </w:r>
          </w:p>
        </w:tc>
      </w:tr>
      <w:tr w:rsidR="00D01F79" w:rsidRPr="004D152E" w:rsidTr="00F2658A">
        <w:trPr>
          <w:trHeight w:val="368"/>
        </w:trPr>
        <w:tc>
          <w:tcPr>
            <w:tcW w:w="918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K.I.C.T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04.06.2014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890" w:type="dxa"/>
          </w:tcPr>
          <w:p w:rsidR="00D01F79" w:rsidRPr="004D152E" w:rsidRDefault="004D152E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15.06.2014</w:t>
            </w:r>
          </w:p>
        </w:tc>
      </w:tr>
      <w:tr w:rsidR="00D01F79" w:rsidRPr="004D152E" w:rsidTr="00F2658A">
        <w:tc>
          <w:tcPr>
            <w:tcW w:w="918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West Wharf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05.06.2014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12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K.I.C.T</w:t>
            </w:r>
          </w:p>
        </w:tc>
        <w:tc>
          <w:tcPr>
            <w:tcW w:w="1890" w:type="dxa"/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16.06.2014</w:t>
            </w:r>
          </w:p>
        </w:tc>
      </w:tr>
      <w:tr w:rsidR="00D01F79" w:rsidRPr="004D152E" w:rsidTr="00F2658A">
        <w:tc>
          <w:tcPr>
            <w:tcW w:w="918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4</w:t>
            </w:r>
          </w:p>
        </w:tc>
        <w:tc>
          <w:tcPr>
            <w:tcW w:w="4320" w:type="dxa"/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  <w:b/>
              </w:rPr>
              <w:t>K.I.C.T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06.06.2014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13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BOML</w:t>
            </w:r>
          </w:p>
        </w:tc>
        <w:tc>
          <w:tcPr>
            <w:tcW w:w="1890" w:type="dxa"/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17.06.2014</w:t>
            </w:r>
          </w:p>
        </w:tc>
      </w:tr>
      <w:tr w:rsidR="00D01F79" w:rsidRPr="004D152E" w:rsidTr="00D01F79">
        <w:trPr>
          <w:trHeight w:val="70"/>
        </w:trPr>
        <w:tc>
          <w:tcPr>
            <w:tcW w:w="918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5</w:t>
            </w:r>
          </w:p>
        </w:tc>
        <w:tc>
          <w:tcPr>
            <w:tcW w:w="4320" w:type="dxa"/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  <w:b/>
              </w:rPr>
              <w:t>K.I.C.T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07.06.2014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14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  <w:b/>
              </w:rPr>
              <w:t>K.I.C.T</w:t>
            </w:r>
          </w:p>
        </w:tc>
        <w:tc>
          <w:tcPr>
            <w:tcW w:w="1890" w:type="dxa"/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18.06.2014</w:t>
            </w:r>
          </w:p>
        </w:tc>
      </w:tr>
      <w:tr w:rsidR="00D01F79" w:rsidRPr="004D152E" w:rsidTr="00F2658A">
        <w:tc>
          <w:tcPr>
            <w:tcW w:w="918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01F79" w:rsidRPr="004D152E" w:rsidRDefault="00D01F79" w:rsidP="00D01F79">
            <w:pPr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1F79" w:rsidRPr="004D152E" w:rsidRDefault="004D152E" w:rsidP="004D152E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08.06.2014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15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  <w:b/>
              </w:rPr>
              <w:t>West Wharf</w:t>
            </w:r>
          </w:p>
        </w:tc>
        <w:tc>
          <w:tcPr>
            <w:tcW w:w="1890" w:type="dxa"/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19.06.2014</w:t>
            </w:r>
          </w:p>
        </w:tc>
      </w:tr>
      <w:tr w:rsidR="00D01F79" w:rsidRPr="004D152E" w:rsidTr="00F2658A">
        <w:tc>
          <w:tcPr>
            <w:tcW w:w="918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  <w:b/>
              </w:rPr>
              <w:t>West Wharf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09.06.2014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16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  <w:b/>
              </w:rPr>
              <w:t>K.I.C.T</w:t>
            </w:r>
          </w:p>
        </w:tc>
        <w:tc>
          <w:tcPr>
            <w:tcW w:w="1890" w:type="dxa"/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20.06.2014</w:t>
            </w:r>
          </w:p>
        </w:tc>
      </w:tr>
      <w:tr w:rsidR="00D01F79" w:rsidRPr="004D152E" w:rsidTr="00F2658A">
        <w:tc>
          <w:tcPr>
            <w:tcW w:w="918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7</w:t>
            </w:r>
          </w:p>
        </w:tc>
        <w:tc>
          <w:tcPr>
            <w:tcW w:w="4320" w:type="dxa"/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  <w:b/>
              </w:rPr>
              <w:t>K.I.C.T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10.06.2014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17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A.I.C.T Including lots of KICT lying at AICT/ Bonded Warehouses.</w:t>
            </w:r>
          </w:p>
        </w:tc>
        <w:tc>
          <w:tcPr>
            <w:tcW w:w="1890" w:type="dxa"/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21.06.2014</w:t>
            </w:r>
          </w:p>
        </w:tc>
      </w:tr>
      <w:tr w:rsidR="00D01F79" w:rsidRPr="004D152E" w:rsidTr="00F2658A">
        <w:tc>
          <w:tcPr>
            <w:tcW w:w="918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8</w:t>
            </w:r>
          </w:p>
        </w:tc>
        <w:tc>
          <w:tcPr>
            <w:tcW w:w="4320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A.I.C.T Including lots of KICT lying at AICT/ Bonded Warehouses.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11.06.2014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890" w:type="dxa"/>
          </w:tcPr>
          <w:p w:rsidR="00D01F79" w:rsidRPr="004D152E" w:rsidRDefault="004D152E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22.06.2014</w:t>
            </w:r>
          </w:p>
        </w:tc>
      </w:tr>
      <w:tr w:rsidR="00D01F79" w:rsidRPr="004D152E" w:rsidTr="00D01F79">
        <w:trPr>
          <w:trHeight w:val="92"/>
        </w:trPr>
        <w:tc>
          <w:tcPr>
            <w:tcW w:w="918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9</w:t>
            </w:r>
          </w:p>
        </w:tc>
        <w:tc>
          <w:tcPr>
            <w:tcW w:w="4320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West Wharf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12.06.2014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18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  <w:b/>
              </w:rPr>
              <w:t>K.I.C.T</w:t>
            </w:r>
          </w:p>
        </w:tc>
        <w:tc>
          <w:tcPr>
            <w:tcW w:w="1890" w:type="dxa"/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23.06.2014</w:t>
            </w:r>
          </w:p>
        </w:tc>
      </w:tr>
      <w:tr w:rsidR="00D01F79" w:rsidRPr="004D152E" w:rsidTr="00F2658A">
        <w:tc>
          <w:tcPr>
            <w:tcW w:w="918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10</w:t>
            </w:r>
          </w:p>
        </w:tc>
        <w:tc>
          <w:tcPr>
            <w:tcW w:w="4320" w:type="dxa"/>
          </w:tcPr>
          <w:p w:rsidR="00D01F79" w:rsidRPr="004D152E" w:rsidRDefault="00D01F79" w:rsidP="00D01F79">
            <w:pPr>
              <w:ind w:right="-108"/>
              <w:rPr>
                <w:rFonts w:ascii="Arial" w:hAnsi="Arial" w:cs="Arial"/>
                <w:b/>
              </w:rPr>
            </w:pPr>
            <w:r w:rsidRPr="004D152E">
              <w:rPr>
                <w:rFonts w:ascii="Arial" w:hAnsi="Arial" w:cs="Arial"/>
                <w:b/>
              </w:rPr>
              <w:t>K.I.C.T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  <w:r w:rsidRPr="004D152E">
              <w:rPr>
                <w:rFonts w:ascii="Arial" w:hAnsi="Arial" w:cs="Arial"/>
              </w:rPr>
              <w:t>13.06.2014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01F79" w:rsidRPr="004D152E" w:rsidRDefault="00D01F79" w:rsidP="00D01F79">
            <w:pPr>
              <w:ind w:right="-152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01F79" w:rsidRPr="004D152E" w:rsidRDefault="00D01F79" w:rsidP="00D01F79">
            <w:pPr>
              <w:rPr>
                <w:rFonts w:ascii="Arial" w:hAnsi="Arial" w:cs="Arial"/>
              </w:rPr>
            </w:pPr>
          </w:p>
        </w:tc>
      </w:tr>
    </w:tbl>
    <w:p w:rsidR="0050685A" w:rsidRPr="004D152E" w:rsidRDefault="004D1225" w:rsidP="008D14B7">
      <w:pPr>
        <w:spacing w:line="240" w:lineRule="auto"/>
        <w:ind w:left="2160" w:hanging="720"/>
        <w:jc w:val="both"/>
        <w:rPr>
          <w:rFonts w:ascii="Arial" w:hAnsi="Arial" w:cs="Arial"/>
        </w:rPr>
      </w:pPr>
      <w:r w:rsidRPr="004D152E">
        <w:rPr>
          <w:rFonts w:ascii="Arial" w:hAnsi="Arial" w:cs="Arial"/>
          <w:b/>
          <w:u w:val="single"/>
        </w:rPr>
        <w:t>*Note:</w:t>
      </w:r>
      <w:r w:rsidR="0045740F" w:rsidRPr="004D152E">
        <w:rPr>
          <w:rFonts w:ascii="Arial" w:hAnsi="Arial" w:cs="Arial"/>
          <w:b/>
          <w:u w:val="single"/>
        </w:rPr>
        <w:t xml:space="preserve"> </w:t>
      </w:r>
      <w:r w:rsidRPr="004D152E">
        <w:rPr>
          <w:rFonts w:ascii="Arial" w:hAnsi="Arial" w:cs="Arial"/>
        </w:rPr>
        <w:t>The schedule issued for June on 24-04-2014 is hereby withdrawn.</w:t>
      </w:r>
    </w:p>
    <w:p w:rsidR="008D14B7" w:rsidRPr="004D152E" w:rsidRDefault="008D14B7" w:rsidP="008D14B7">
      <w:pPr>
        <w:spacing w:line="240" w:lineRule="auto"/>
        <w:ind w:left="2160" w:hanging="720"/>
        <w:jc w:val="both"/>
        <w:rPr>
          <w:rFonts w:ascii="Arial" w:hAnsi="Arial" w:cs="Arial"/>
        </w:rPr>
      </w:pPr>
      <w:r w:rsidRPr="004D152E">
        <w:rPr>
          <w:rFonts w:ascii="Arial" w:hAnsi="Arial" w:cs="Arial"/>
        </w:rPr>
        <w:t>Note:</w:t>
      </w:r>
      <w:r w:rsidRPr="004D152E">
        <w:rPr>
          <w:rFonts w:ascii="Arial" w:hAnsi="Arial" w:cs="Arial"/>
        </w:rPr>
        <w:tab/>
        <w:t xml:space="preserve">The auction plan for the month of </w:t>
      </w:r>
      <w:r w:rsidRPr="004D152E">
        <w:rPr>
          <w:rFonts w:ascii="Arial" w:hAnsi="Arial" w:cs="Arial"/>
          <w:b/>
        </w:rPr>
        <w:t>JUNE,</w:t>
      </w:r>
      <w:r w:rsidR="0045740F" w:rsidRPr="004D152E">
        <w:rPr>
          <w:rFonts w:ascii="Arial" w:hAnsi="Arial" w:cs="Arial"/>
          <w:b/>
        </w:rPr>
        <w:t xml:space="preserve"> </w:t>
      </w:r>
      <w:r w:rsidRPr="004D152E">
        <w:rPr>
          <w:rFonts w:ascii="Arial" w:hAnsi="Arial" w:cs="Arial"/>
          <w:b/>
        </w:rPr>
        <w:t>2014</w:t>
      </w:r>
      <w:r w:rsidRPr="004D152E">
        <w:rPr>
          <w:rFonts w:ascii="Arial" w:hAnsi="Arial" w:cs="Arial"/>
        </w:rPr>
        <w:t xml:space="preserve"> is being issued in advance i.e. on </w:t>
      </w:r>
      <w:r w:rsidR="00237764" w:rsidRPr="004D152E">
        <w:rPr>
          <w:rFonts w:ascii="Arial" w:hAnsi="Arial" w:cs="Arial"/>
          <w:b/>
        </w:rPr>
        <w:t>03</w:t>
      </w:r>
      <w:r w:rsidRPr="004D152E">
        <w:rPr>
          <w:rFonts w:ascii="Arial" w:hAnsi="Arial" w:cs="Arial"/>
          <w:b/>
        </w:rPr>
        <w:t>.0</w:t>
      </w:r>
      <w:r w:rsidR="00237764" w:rsidRPr="004D152E">
        <w:rPr>
          <w:rFonts w:ascii="Arial" w:hAnsi="Arial" w:cs="Arial"/>
          <w:b/>
        </w:rPr>
        <w:t>6</w:t>
      </w:r>
      <w:r w:rsidRPr="004D152E">
        <w:rPr>
          <w:rFonts w:ascii="Arial" w:hAnsi="Arial" w:cs="Arial"/>
          <w:b/>
        </w:rPr>
        <w:t>.2014</w:t>
      </w:r>
      <w:r w:rsidR="004D1225" w:rsidRPr="004D152E">
        <w:rPr>
          <w:rFonts w:ascii="Arial" w:hAnsi="Arial" w:cs="Arial"/>
          <w:b/>
        </w:rPr>
        <w:t>.</w:t>
      </w:r>
      <w:r w:rsidRPr="004D152E">
        <w:rPr>
          <w:rFonts w:ascii="Arial" w:hAnsi="Arial" w:cs="Arial"/>
        </w:rPr>
        <w:t xml:space="preserve"> Concerned DC/AC’s are requested to follow the auction schedule and avoid auction of left over lots on the dates other than specified dates. </w:t>
      </w:r>
      <w:r w:rsidR="00F2658A" w:rsidRPr="004D152E">
        <w:rPr>
          <w:rFonts w:ascii="Arial" w:hAnsi="Arial" w:cs="Arial"/>
        </w:rPr>
        <w:t xml:space="preserve">The auction will start at sharp 10.00 AM. </w:t>
      </w:r>
      <w:r w:rsidRPr="004D152E">
        <w:rPr>
          <w:rFonts w:ascii="Arial" w:hAnsi="Arial" w:cs="Arial"/>
        </w:rPr>
        <w:t>The following conditions should by satisfied by the incharge D.C/A.C.</w:t>
      </w:r>
    </w:p>
    <w:p w:rsidR="008D14B7" w:rsidRPr="004D152E" w:rsidRDefault="008D14B7" w:rsidP="008D14B7">
      <w:pPr>
        <w:pStyle w:val="ListParagraph"/>
        <w:numPr>
          <w:ilvl w:val="0"/>
          <w:numId w:val="1"/>
        </w:numPr>
        <w:tabs>
          <w:tab w:val="left" w:pos="1260"/>
          <w:tab w:val="left" w:pos="1440"/>
        </w:tabs>
        <w:rPr>
          <w:rFonts w:ascii="Arial" w:hAnsi="Arial" w:cs="Arial"/>
        </w:rPr>
      </w:pPr>
      <w:r w:rsidRPr="004D152E">
        <w:rPr>
          <w:rFonts w:ascii="Arial" w:hAnsi="Arial" w:cs="Arial"/>
        </w:rPr>
        <w:t>Publication of Advertisement.</w:t>
      </w:r>
    </w:p>
    <w:p w:rsidR="008D14B7" w:rsidRPr="004D152E" w:rsidRDefault="008D14B7" w:rsidP="008D14B7">
      <w:pPr>
        <w:pStyle w:val="ListParagraph"/>
        <w:numPr>
          <w:ilvl w:val="0"/>
          <w:numId w:val="1"/>
        </w:numPr>
        <w:tabs>
          <w:tab w:val="left" w:pos="1260"/>
          <w:tab w:val="left" w:pos="1440"/>
        </w:tabs>
        <w:rPr>
          <w:rFonts w:ascii="Arial" w:hAnsi="Arial" w:cs="Arial"/>
        </w:rPr>
      </w:pPr>
      <w:r w:rsidRPr="004D152E">
        <w:rPr>
          <w:rFonts w:ascii="Arial" w:hAnsi="Arial" w:cs="Arial"/>
        </w:rPr>
        <w:t>Publication of Auction Schedule.</w:t>
      </w:r>
    </w:p>
    <w:p w:rsidR="008D14B7" w:rsidRPr="004D152E" w:rsidRDefault="008D14B7" w:rsidP="008D14B7">
      <w:pPr>
        <w:pStyle w:val="ListParagraph"/>
        <w:numPr>
          <w:ilvl w:val="0"/>
          <w:numId w:val="1"/>
        </w:numPr>
        <w:tabs>
          <w:tab w:val="left" w:pos="1260"/>
          <w:tab w:val="left" w:pos="1440"/>
        </w:tabs>
        <w:rPr>
          <w:rFonts w:ascii="Arial" w:hAnsi="Arial" w:cs="Arial"/>
        </w:rPr>
      </w:pPr>
      <w:r w:rsidRPr="004D152E">
        <w:rPr>
          <w:rFonts w:ascii="Arial" w:hAnsi="Arial" w:cs="Arial"/>
        </w:rPr>
        <w:t>Issuance of Notice under Section 82 of the Custom Act, 1969 besides other legal formalities.</w:t>
      </w:r>
    </w:p>
    <w:p w:rsidR="008D14B7" w:rsidRPr="004D152E" w:rsidRDefault="008D14B7" w:rsidP="008D14B7">
      <w:pPr>
        <w:pStyle w:val="ListParagraph"/>
        <w:numPr>
          <w:ilvl w:val="0"/>
          <w:numId w:val="1"/>
        </w:numPr>
        <w:tabs>
          <w:tab w:val="left" w:pos="1260"/>
          <w:tab w:val="left" w:pos="1440"/>
        </w:tabs>
        <w:rPr>
          <w:rFonts w:ascii="Arial" w:hAnsi="Arial" w:cs="Arial"/>
        </w:rPr>
      </w:pPr>
      <w:r w:rsidRPr="004D152E">
        <w:rPr>
          <w:rFonts w:ascii="Arial" w:hAnsi="Arial" w:cs="Arial"/>
        </w:rPr>
        <w:t>Auction Schedule to be displayed on (FBR) website.</w:t>
      </w:r>
    </w:p>
    <w:p w:rsidR="008D14B7" w:rsidRPr="004D152E" w:rsidRDefault="008D14B7" w:rsidP="008D14B7">
      <w:pPr>
        <w:pStyle w:val="ListParagraph"/>
        <w:numPr>
          <w:ilvl w:val="0"/>
          <w:numId w:val="1"/>
        </w:numPr>
        <w:tabs>
          <w:tab w:val="left" w:pos="1260"/>
          <w:tab w:val="left" w:pos="1440"/>
        </w:tabs>
        <w:rPr>
          <w:rFonts w:ascii="Arial" w:hAnsi="Arial" w:cs="Arial"/>
        </w:rPr>
      </w:pPr>
      <w:r w:rsidRPr="004D152E">
        <w:rPr>
          <w:rFonts w:ascii="Arial" w:hAnsi="Arial" w:cs="Arial"/>
        </w:rPr>
        <w:t xml:space="preserve">Copy of Auction Schedule to be sent to the Chamber of Commerce and Federation of Pakistan Chamber of  Commerce &amp; Industries, Karachi. </w:t>
      </w:r>
    </w:p>
    <w:p w:rsidR="008D14B7" w:rsidRPr="004D152E" w:rsidRDefault="008D14B7" w:rsidP="00F2658A">
      <w:pPr>
        <w:pStyle w:val="ListParagraph"/>
        <w:numPr>
          <w:ilvl w:val="0"/>
          <w:numId w:val="1"/>
        </w:numPr>
        <w:tabs>
          <w:tab w:val="left" w:pos="1260"/>
          <w:tab w:val="left" w:pos="1440"/>
        </w:tabs>
        <w:spacing w:after="0"/>
        <w:rPr>
          <w:rFonts w:ascii="Arial" w:hAnsi="Arial" w:cs="Arial"/>
        </w:rPr>
      </w:pPr>
      <w:r w:rsidRPr="004D152E">
        <w:rPr>
          <w:rFonts w:ascii="Arial" w:hAnsi="Arial" w:cs="Arial"/>
        </w:rPr>
        <w:t xml:space="preserve">Bank Manager, NBP Custom House Branch, Karachi be informed about availability of relevant bank staff on Auction dates. </w:t>
      </w:r>
    </w:p>
    <w:p w:rsidR="008D14B7" w:rsidRPr="004D152E" w:rsidRDefault="008D14B7" w:rsidP="00F2658A">
      <w:pPr>
        <w:tabs>
          <w:tab w:val="left" w:pos="1260"/>
          <w:tab w:val="left" w:pos="1440"/>
        </w:tabs>
        <w:spacing w:after="0" w:line="360" w:lineRule="auto"/>
        <w:rPr>
          <w:rFonts w:ascii="Arial" w:hAnsi="Arial" w:cs="Arial"/>
        </w:rPr>
      </w:pPr>
      <w:r w:rsidRPr="004D152E">
        <w:rPr>
          <w:rFonts w:ascii="Arial" w:hAnsi="Arial" w:cs="Arial"/>
        </w:rPr>
        <w:t xml:space="preserve">               Copy to:-</w:t>
      </w:r>
    </w:p>
    <w:p w:rsidR="008D14B7" w:rsidRPr="004D152E" w:rsidRDefault="008D14B7" w:rsidP="00F2658A">
      <w:pPr>
        <w:pStyle w:val="ListParagraph"/>
        <w:numPr>
          <w:ilvl w:val="2"/>
          <w:numId w:val="3"/>
        </w:numPr>
        <w:tabs>
          <w:tab w:val="left" w:pos="1260"/>
          <w:tab w:val="left" w:pos="1440"/>
        </w:tabs>
        <w:spacing w:after="0"/>
        <w:rPr>
          <w:rFonts w:ascii="Arial" w:hAnsi="Arial" w:cs="Arial"/>
        </w:rPr>
      </w:pPr>
      <w:r w:rsidRPr="004D152E">
        <w:rPr>
          <w:rFonts w:ascii="Arial" w:hAnsi="Arial" w:cs="Arial"/>
        </w:rPr>
        <w:t>The Collector of Customs, MCC Appraisement, (West), Custom House Karachi.</w:t>
      </w:r>
    </w:p>
    <w:p w:rsidR="008D14B7" w:rsidRPr="004D152E" w:rsidRDefault="008D14B7" w:rsidP="006924C5">
      <w:pPr>
        <w:pStyle w:val="ListParagraph"/>
        <w:numPr>
          <w:ilvl w:val="2"/>
          <w:numId w:val="3"/>
        </w:numPr>
        <w:tabs>
          <w:tab w:val="left" w:pos="1260"/>
          <w:tab w:val="left" w:pos="1440"/>
        </w:tabs>
        <w:spacing w:after="0"/>
        <w:rPr>
          <w:rFonts w:ascii="Arial" w:hAnsi="Arial" w:cs="Arial"/>
        </w:rPr>
      </w:pPr>
      <w:r w:rsidRPr="004D152E">
        <w:rPr>
          <w:rFonts w:ascii="Arial" w:hAnsi="Arial" w:cs="Arial"/>
        </w:rPr>
        <w:t>The Additional Collector-I</w:t>
      </w:r>
      <w:r w:rsidR="00490F08" w:rsidRPr="004D152E">
        <w:rPr>
          <w:rFonts w:ascii="Arial" w:hAnsi="Arial" w:cs="Arial"/>
        </w:rPr>
        <w:t>V</w:t>
      </w:r>
      <w:r w:rsidRPr="004D152E">
        <w:rPr>
          <w:rFonts w:ascii="Arial" w:hAnsi="Arial" w:cs="Arial"/>
        </w:rPr>
        <w:t>, MCC Appraisement, (West), Custom House Karachi.</w:t>
      </w:r>
    </w:p>
    <w:p w:rsidR="008D14B7" w:rsidRPr="004D152E" w:rsidRDefault="008D14B7" w:rsidP="006924C5">
      <w:pPr>
        <w:pStyle w:val="ListParagraph"/>
        <w:numPr>
          <w:ilvl w:val="2"/>
          <w:numId w:val="3"/>
        </w:numPr>
        <w:tabs>
          <w:tab w:val="left" w:pos="1260"/>
          <w:tab w:val="left" w:pos="1440"/>
        </w:tabs>
        <w:spacing w:after="0"/>
        <w:rPr>
          <w:rFonts w:ascii="Arial" w:hAnsi="Arial" w:cs="Arial"/>
        </w:rPr>
      </w:pPr>
      <w:r w:rsidRPr="004D152E">
        <w:rPr>
          <w:rFonts w:ascii="Arial" w:hAnsi="Arial" w:cs="Arial"/>
        </w:rPr>
        <w:t>The Deputy Collector, MCC Appraisement, West Wharf / KICT /AICT/ BOML/Bonded Warehouses, MCCA (West), Karachi.</w:t>
      </w:r>
    </w:p>
    <w:p w:rsidR="008D14B7" w:rsidRPr="004D152E" w:rsidRDefault="008D14B7" w:rsidP="00CA0CAE">
      <w:pPr>
        <w:tabs>
          <w:tab w:val="left" w:pos="1260"/>
          <w:tab w:val="left" w:pos="1440"/>
        </w:tabs>
        <w:spacing w:after="0" w:line="240" w:lineRule="auto"/>
        <w:ind w:left="1260"/>
        <w:jc w:val="center"/>
        <w:rPr>
          <w:rFonts w:ascii="Arial" w:hAnsi="Arial" w:cs="Arial"/>
        </w:rPr>
      </w:pP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  <w:t xml:space="preserve">           </w:t>
      </w:r>
    </w:p>
    <w:p w:rsidR="008D14B7" w:rsidRPr="004D152E" w:rsidRDefault="008D14B7" w:rsidP="008D14B7">
      <w:pPr>
        <w:tabs>
          <w:tab w:val="left" w:pos="1260"/>
          <w:tab w:val="left" w:pos="1440"/>
        </w:tabs>
        <w:spacing w:after="0" w:line="240" w:lineRule="auto"/>
        <w:ind w:left="1260"/>
        <w:jc w:val="center"/>
        <w:rPr>
          <w:rFonts w:ascii="Arial" w:hAnsi="Arial" w:cs="Arial"/>
        </w:rPr>
      </w:pP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  <w:t xml:space="preserve">          </w:t>
      </w:r>
    </w:p>
    <w:p w:rsidR="008D14B7" w:rsidRPr="004D152E" w:rsidRDefault="006924C5" w:rsidP="008D14B7">
      <w:pPr>
        <w:tabs>
          <w:tab w:val="left" w:pos="1260"/>
          <w:tab w:val="left" w:pos="1440"/>
        </w:tabs>
        <w:spacing w:after="0" w:line="240" w:lineRule="auto"/>
        <w:ind w:left="1260"/>
        <w:jc w:val="center"/>
        <w:rPr>
          <w:rFonts w:ascii="Arial" w:hAnsi="Arial" w:cs="Arial"/>
        </w:rPr>
      </w:pP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</w:r>
      <w:r w:rsidRPr="004D152E">
        <w:rPr>
          <w:rFonts w:ascii="Arial" w:hAnsi="Arial" w:cs="Arial"/>
        </w:rPr>
        <w:tab/>
        <w:t xml:space="preserve">  </w:t>
      </w:r>
      <w:r w:rsidR="008D14B7" w:rsidRPr="004D152E">
        <w:rPr>
          <w:rFonts w:ascii="Arial" w:hAnsi="Arial" w:cs="Arial"/>
        </w:rPr>
        <w:t xml:space="preserve">    </w:t>
      </w:r>
      <w:r w:rsidR="008D14B7" w:rsidRPr="004D152E">
        <w:rPr>
          <w:rFonts w:ascii="Arial" w:hAnsi="Arial" w:cs="Arial"/>
          <w:b/>
        </w:rPr>
        <w:t xml:space="preserve"> (Naveed Iqbal)</w:t>
      </w:r>
      <w:r w:rsidR="008D14B7" w:rsidRPr="004D152E">
        <w:rPr>
          <w:rFonts w:ascii="Arial" w:hAnsi="Arial" w:cs="Arial"/>
        </w:rPr>
        <w:tab/>
      </w:r>
      <w:r w:rsidR="008D14B7" w:rsidRPr="004D152E">
        <w:rPr>
          <w:rFonts w:ascii="Arial" w:hAnsi="Arial" w:cs="Arial"/>
        </w:rPr>
        <w:tab/>
      </w:r>
      <w:r w:rsidR="008D14B7" w:rsidRPr="004D152E">
        <w:rPr>
          <w:rFonts w:ascii="Arial" w:hAnsi="Arial" w:cs="Arial"/>
        </w:rPr>
        <w:tab/>
      </w:r>
      <w:r w:rsidR="008D14B7" w:rsidRPr="004D152E">
        <w:rPr>
          <w:rFonts w:ascii="Arial" w:hAnsi="Arial" w:cs="Arial"/>
        </w:rPr>
        <w:tab/>
      </w:r>
      <w:r w:rsidR="008D14B7" w:rsidRPr="004D152E">
        <w:rPr>
          <w:rFonts w:ascii="Arial" w:hAnsi="Arial" w:cs="Arial"/>
        </w:rPr>
        <w:tab/>
      </w:r>
      <w:r w:rsidR="008D14B7" w:rsidRPr="004D152E">
        <w:rPr>
          <w:rFonts w:ascii="Arial" w:hAnsi="Arial" w:cs="Arial"/>
        </w:rPr>
        <w:tab/>
      </w:r>
      <w:r w:rsidR="008D14B7" w:rsidRPr="004D152E">
        <w:rPr>
          <w:rFonts w:ascii="Arial" w:hAnsi="Arial" w:cs="Arial"/>
        </w:rPr>
        <w:tab/>
      </w:r>
      <w:r w:rsidR="008D14B7" w:rsidRPr="004D152E">
        <w:rPr>
          <w:rFonts w:ascii="Arial" w:hAnsi="Arial" w:cs="Arial"/>
        </w:rPr>
        <w:tab/>
      </w:r>
      <w:r w:rsidR="008D14B7" w:rsidRPr="004D152E">
        <w:rPr>
          <w:rFonts w:ascii="Arial" w:hAnsi="Arial" w:cs="Arial"/>
        </w:rPr>
        <w:tab/>
      </w:r>
      <w:r w:rsidR="008D14B7" w:rsidRPr="004D152E">
        <w:rPr>
          <w:rFonts w:ascii="Arial" w:hAnsi="Arial" w:cs="Arial"/>
        </w:rPr>
        <w:tab/>
      </w:r>
      <w:r w:rsidR="008D14B7" w:rsidRPr="004D152E">
        <w:rPr>
          <w:rFonts w:ascii="Arial" w:hAnsi="Arial" w:cs="Arial"/>
        </w:rPr>
        <w:tab/>
        <w:t xml:space="preserve">            </w:t>
      </w:r>
      <w:r w:rsidR="001111A4">
        <w:rPr>
          <w:rFonts w:ascii="Arial" w:hAnsi="Arial" w:cs="Arial"/>
        </w:rPr>
        <w:t xml:space="preserve">                             </w:t>
      </w:r>
      <w:r w:rsidR="008D14B7" w:rsidRPr="004D152E">
        <w:rPr>
          <w:rFonts w:ascii="Arial" w:hAnsi="Arial" w:cs="Arial"/>
        </w:rPr>
        <w:t xml:space="preserve"> Deputy Collector </w:t>
      </w:r>
      <w:r w:rsidR="00237764" w:rsidRPr="004D152E">
        <w:rPr>
          <w:rFonts w:ascii="Arial" w:hAnsi="Arial" w:cs="Arial"/>
        </w:rPr>
        <w:t>(Auction)</w:t>
      </w:r>
    </w:p>
    <w:sectPr w:rsidR="008D14B7" w:rsidRPr="004D152E" w:rsidSect="00AC43A4">
      <w:pgSz w:w="15840" w:h="12240" w:orient="landscape"/>
      <w:pgMar w:top="720" w:right="720" w:bottom="1170" w:left="4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5B" w:rsidRDefault="00E7765B" w:rsidP="00AE2DFD">
      <w:pPr>
        <w:spacing w:after="0" w:line="240" w:lineRule="auto"/>
      </w:pPr>
      <w:r>
        <w:separator/>
      </w:r>
    </w:p>
  </w:endnote>
  <w:endnote w:type="continuationSeparator" w:id="1">
    <w:p w:rsidR="00E7765B" w:rsidRDefault="00E7765B" w:rsidP="00AE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5B" w:rsidRDefault="00E7765B" w:rsidP="00AE2DFD">
      <w:pPr>
        <w:spacing w:after="0" w:line="240" w:lineRule="auto"/>
      </w:pPr>
      <w:r>
        <w:separator/>
      </w:r>
    </w:p>
  </w:footnote>
  <w:footnote w:type="continuationSeparator" w:id="1">
    <w:p w:rsidR="00E7765B" w:rsidRDefault="00E7765B" w:rsidP="00AE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51D7"/>
    <w:multiLevelType w:val="hybridMultilevel"/>
    <w:tmpl w:val="D4E848CC"/>
    <w:lvl w:ilvl="0" w:tplc="570602FC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ACE5C7A"/>
    <w:multiLevelType w:val="hybridMultilevel"/>
    <w:tmpl w:val="1FE2AB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15B91"/>
    <w:multiLevelType w:val="hybridMultilevel"/>
    <w:tmpl w:val="41FA9712"/>
    <w:lvl w:ilvl="0" w:tplc="72187336">
      <w:start w:val="1"/>
      <w:numFmt w:val="upperRoman"/>
      <w:lvlText w:val="(%1)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4B7"/>
    <w:rsid w:val="000022B9"/>
    <w:rsid w:val="00030797"/>
    <w:rsid w:val="00035035"/>
    <w:rsid w:val="001111A4"/>
    <w:rsid w:val="00120E46"/>
    <w:rsid w:val="001C1B57"/>
    <w:rsid w:val="001C3750"/>
    <w:rsid w:val="00237764"/>
    <w:rsid w:val="002C7796"/>
    <w:rsid w:val="004561DA"/>
    <w:rsid w:val="0045740F"/>
    <w:rsid w:val="00490F08"/>
    <w:rsid w:val="00495A6D"/>
    <w:rsid w:val="004D1225"/>
    <w:rsid w:val="004D152E"/>
    <w:rsid w:val="0050685A"/>
    <w:rsid w:val="0057508E"/>
    <w:rsid w:val="005A6479"/>
    <w:rsid w:val="005B3495"/>
    <w:rsid w:val="00610BC3"/>
    <w:rsid w:val="006924C5"/>
    <w:rsid w:val="006A5B99"/>
    <w:rsid w:val="00857321"/>
    <w:rsid w:val="008D14B7"/>
    <w:rsid w:val="009150FB"/>
    <w:rsid w:val="00A51384"/>
    <w:rsid w:val="00A8152F"/>
    <w:rsid w:val="00AE2DFD"/>
    <w:rsid w:val="00AF0A7D"/>
    <w:rsid w:val="00B950FF"/>
    <w:rsid w:val="00BA0CD6"/>
    <w:rsid w:val="00BF4603"/>
    <w:rsid w:val="00CA0CAE"/>
    <w:rsid w:val="00D01F79"/>
    <w:rsid w:val="00D10EAE"/>
    <w:rsid w:val="00D1118B"/>
    <w:rsid w:val="00D90AEB"/>
    <w:rsid w:val="00E125FF"/>
    <w:rsid w:val="00E7763B"/>
    <w:rsid w:val="00E7765B"/>
    <w:rsid w:val="00ED5301"/>
    <w:rsid w:val="00F2658A"/>
    <w:rsid w:val="00F8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4B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4B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AE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DFD"/>
  </w:style>
  <w:style w:type="paragraph" w:styleId="Footer">
    <w:name w:val="footer"/>
    <w:basedOn w:val="Normal"/>
    <w:link w:val="FooterChar"/>
    <w:uiPriority w:val="99"/>
    <w:semiHidden/>
    <w:unhideWhenUsed/>
    <w:rsid w:val="00AE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accustom</dc:creator>
  <cp:lastModifiedBy>PRAL</cp:lastModifiedBy>
  <cp:revision>13</cp:revision>
  <cp:lastPrinted>2014-05-17T15:38:00Z</cp:lastPrinted>
  <dcterms:created xsi:type="dcterms:W3CDTF">2014-05-17T11:24:00Z</dcterms:created>
  <dcterms:modified xsi:type="dcterms:W3CDTF">2014-06-09T10:10:00Z</dcterms:modified>
</cp:coreProperties>
</file>